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16</w:t>
      </w:r>
    </w:p>
    <w:p>
      <w:r>
        <w:t>Bundesgericht (BGE), 1989-08-28, DE</w:t>
      </w:r>
    </w:p>
    <w:p>
      <w:r>
        <w:rPr>
          <w:b/>
        </w:rPr>
        <w:t xml:space="preserve">Quelle: </w:t>
      </w:r>
      <w:r>
        <w:t>https://mcp.opencaselaw.ch/entscheid/bge_115 III 16</w:t>
      </w:r>
    </w:p>
    <w:p>
      <w:r>
        <w:t>FR: ATF 115 III 16</w:t>
      </w:r>
    </w:p>
    <w:p>
      <w:r>
        <w:t>IT: DTF 115 III 16</w:t>
      </w:r>
    </w:p>
    <w:p>
      <w:pPr>
        <w:pStyle w:val="Heading2"/>
      </w:pPr>
      <w:r>
        <w:t>Regeste</w:t>
      </w:r>
    </w:p>
    <w:p>
      <w:r>
        <w:t>Regeste Betreibungsbegehren eines Anlagefonds (Art. 67 SchKG). Legitimiert zur Geltendmachung von Schadenersatzansprüchen nach Art. 23 Abs. 2 AFG und zur Einleitung einer entsprechenden Betreibung ist nur der einzelne Anleger, auch wenn der geforderte Betrag nicht diesem zu zahlen ist; dass die Betreibungsforderung in den Anlagefonds einzuwerfen ist, ergibt sich für den Betriebenen aus dem im Zahlungsbefehl angegebenen Grund der Forderung mit hinreichender Klarheit (Erw. 2 und 3).</w:t>
      </w:r>
    </w:p>
    <w:p>
      <w:pPr>
        <w:pStyle w:val="Heading2"/>
      </w:pPr>
      <w:r>
        <w:t>Erwägungen</w:t>
      </w:r>
    </w:p>
    <w:p>
      <w:r>
        <w:rPr>
          <w:b/>
        </w:rPr>
        <w:t>E. 1</w:t>
      </w:r>
    </w:p>
    <w:p>
      <w:r>
        <w:t>(Feststellung, dass ein Anlagefonds nicht aktiv betreibungsfähig sei; vgl. BGE 115 III 14 Erw. 2a.)</w:t>
      </w:r>
    </w:p>
    <w:p>
      <w:r>
        <w:rPr>
          <w:b/>
        </w:rPr>
        <w:t>E. 2</w:t>
      </w:r>
    </w:p>
    <w:p>
      <w:r>
        <w:t>Was die Rekurrenten zur Begründung ihres abweichenden Standpunktes anführen, ist unbehelflich: a) Für den Fall, dass die Fondsleitung ihre vertraglichen Verpflichtungen nicht oder nicht gehörig erfüllen sollte, sieht Art. 23 Abs. 1 AFG vor, dass der einzelne Anleger auf Erfüllung klagen kann, und zwar auch dann, wenn die Klage Auswirkungen auf alle Anleger hat. Hat die Fondsleitung oder eine der in Art. 14 Abs. 4 AFG genannten Personen dem Anlagefonds widerrechtlich Vermögenswerte entzogen oder Vermögensvorteile vorenthalten, so geht die Klage auf Einwerfung in den Anlagefonds ( Art. 23 Abs. 2 AFG ). Letzteres bedeutet indessen nicht zwingend, dass der Fonds auch Gläubiger sei. Beim unechten Vertrag zugunsten eines Dritten ( Art. 112 Abs. 1 OR ) verhält es sich beispielsweise ebenfalls so, dass der zum Empfang der versprochenen Leistung bestimmte BGE 115 III 16 S. 18 Dritte kein eigenes Forderungsrecht hat, d.h. nicht Gläubiger ist (vgl. GUHL/MERZ/KUMMER, Das Schweizerische Obligationenrecht, 7. A., S. 155). Die Ausführungen der Rekurrenten in der Eingabe vom 25. Juli 1989 vermögen daran nichts zu ändern. b) Der Auffassung der Rekurrenten, die Vorinstanz nehme zu Unrecht an, dass im Betreibungsverfahren nur als Gläubiger auftreten könne, wer in einem - im Hinblick auf die Fortsetzung der Betreibung - allenfalls durchzuführenden Forderungsprozess aktivlegitimiert sei, ist nicht beizupflichten. Es ist in diesem Zusammenhang etwa auf Art. 79 SchKG hinzuweisen, der ausdrücklich bestimmt, dass ein Gläubiger, gegen dessen Betreibung Rechtsvorschlag erhoben worden ist, zur Geltendmachung seines Anspruchs den ordentlichen Prozessweg zu begehen habe. Auch das Gesetz geht somit davon aus, dass der Gläubiger im Betreibungsverfahren mit dem Kläger im Forderungsprozess zur Beseitigung eines Rechtsvorschlages identisch sein müsse. Dass der in Betreibung gesetzte (und nötigenfalls eingeklagte) Forderungsbetrag hier nicht dem Betreibungsgläubiger (und allfälligen Forderungskläger) zukäme, sondern in den Anlagefonds eingeworfen werden müsste, ergibt sich für den Betriebenen aus dem im Zahlungsbefehl angegebenen Grund der Forderung mit hinreichender Klarheit; die entsprechenden Bedenken der Rekurrenten sind unbegründet.</w:t>
      </w:r>
    </w:p>
    <w:p>
      <w:r>
        <w:rPr>
          <w:b/>
        </w:rPr>
        <w:t>E. 3</w:t>
      </w:r>
    </w:p>
    <w:p>
      <w:r>
        <w:t>Die Vorinstanz hat zwar nicht ausdrücklich festgehalten, wer in einem Fall der vorliegenden Art aktiv betreibungsfähig, d.h. legitimiert sei, als Betreibungsgläubiger aufzutreten. Ihren Erwägungen lässt sich jedoch ohne weiteres entnehmen, dass sie - und zwar nach dem Gesagten zu Recht - dafürhält, nur die einzelnen Anleger könnten eine Betreibung einleiten und nur sie könnten in den Betreibungsurkunden als Gläubiger vermerkt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